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  <w:t xml:space="preserve"> </w:t>
      </w:r>
    </w:p>
    <w:p>
      <w:pPr>
        <w:jc w:val="center"/>
        <w:rPr>
          <w:rFonts w:hint="eastAsia" w:ascii="微软雅黑" w:hAnsi="微软雅黑" w:eastAsia="微软雅黑" w:cs="微软雅黑"/>
          <w:b/>
          <w:sz w:val="32"/>
          <w:szCs w:val="3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sz w:val="32"/>
          <w:szCs w:val="3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sz w:val="32"/>
          <w:szCs w:val="3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sz w:val="32"/>
          <w:szCs w:val="3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sz w:val="32"/>
          <w:szCs w:val="3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sz w:val="52"/>
          <w:szCs w:val="52"/>
          <w:lang w:eastAsia="zh-CN"/>
        </w:rPr>
        <w:t>浙江省农业机械登记品牌型号库</w:t>
      </w:r>
    </w:p>
    <w:p>
      <w:pPr>
        <w:jc w:val="center"/>
        <w:rPr>
          <w:rFonts w:hint="eastAsia" w:ascii="微软雅黑" w:hAnsi="微软雅黑" w:eastAsia="微软雅黑" w:cs="微软雅黑"/>
          <w:b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sz w:val="52"/>
          <w:szCs w:val="52"/>
          <w:lang w:eastAsia="zh-CN"/>
        </w:rPr>
        <w:t>操作手册</w:t>
      </w:r>
    </w:p>
    <w:p>
      <w:pPr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32"/>
          <w:szCs w:val="32"/>
        </w:rPr>
      </w:pP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  <w:lang w:eastAsia="zh-CN"/>
        </w:rPr>
        <w:t>（适用于注册的企业）</w:t>
      </w:r>
    </w:p>
    <w:p>
      <w:pPr>
        <w:jc w:val="center"/>
        <w:rPr>
          <w:rFonts w:hint="eastAsia" w:ascii="微软雅黑" w:hAnsi="微软雅黑" w:eastAsia="微软雅黑" w:cs="微软雅黑"/>
          <w:b/>
          <w:sz w:val="32"/>
          <w:szCs w:val="32"/>
        </w:rPr>
      </w:pPr>
    </w:p>
    <w:p>
      <w:pPr>
        <w:jc w:val="both"/>
        <w:rPr>
          <w:rFonts w:hint="eastAsia" w:ascii="微软雅黑" w:hAnsi="微软雅黑" w:eastAsia="微软雅黑" w:cs="微软雅黑"/>
          <w:b/>
          <w:sz w:val="32"/>
          <w:szCs w:val="3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sz w:val="32"/>
          <w:szCs w:val="3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sz w:val="32"/>
          <w:szCs w:val="32"/>
        </w:rPr>
      </w:pPr>
    </w:p>
    <w:p>
      <w:pPr>
        <w:jc w:val="both"/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  <w:t xml:space="preserve">         </w:t>
      </w:r>
    </w:p>
    <w:p>
      <w:pPr>
        <w:jc w:val="center"/>
        <w:rPr>
          <w:rFonts w:hint="eastAsia" w:ascii="微软雅黑" w:hAnsi="微软雅黑" w:eastAsia="微软雅黑" w:cs="微软雅黑"/>
          <w:b w:val="0"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eastAsia="zh-CN"/>
        </w:rPr>
        <w:t>日期：</w:t>
      </w:r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>2018-04-23</w:t>
      </w:r>
    </w:p>
    <w:p>
      <w:pPr>
        <w:widowControl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</w:p>
    <w:p>
      <w:pPr>
        <w:pStyle w:val="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zh-CN"/>
        </w:rPr>
        <w:t>目录</w:t>
      </w:r>
    </w:p>
    <w:p>
      <w:pPr>
        <w:pStyle w:val="13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TOC \o "1-3" \h \z \u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_Toc28090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 xml:space="preserve">1 </w:t>
      </w:r>
      <w:r>
        <w:rPr>
          <w:rFonts w:hint="eastAsia" w:ascii="微软雅黑" w:hAnsi="微软雅黑" w:eastAsia="微软雅黑" w:cs="微软雅黑"/>
          <w:lang w:eastAsia="zh-CN"/>
        </w:rPr>
        <w:t>文档说明</w:t>
      </w:r>
      <w:r>
        <w:tab/>
      </w:r>
      <w:r>
        <w:fldChar w:fldCharType="begin"/>
      </w:r>
      <w:r>
        <w:instrText xml:space="preserve"> PAGEREF _Toc28090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_Toc18854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 xml:space="preserve">2 </w:t>
      </w:r>
      <w:r>
        <w:rPr>
          <w:rFonts w:hint="eastAsia" w:ascii="微软雅黑" w:hAnsi="微软雅黑" w:eastAsia="微软雅黑" w:cs="微软雅黑"/>
          <w:lang w:eastAsia="zh-CN"/>
        </w:rPr>
        <w:t>企业用户操作说明</w:t>
      </w:r>
      <w:r>
        <w:tab/>
      </w:r>
      <w:r>
        <w:fldChar w:fldCharType="begin"/>
      </w:r>
      <w:r>
        <w:instrText xml:space="preserve"> PAGEREF _Toc18854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4"/>
        <w:tabs>
          <w:tab w:val="right" w:leader="dot" w:pos="8306"/>
          <w:tab w:val="clear" w:pos="945"/>
          <w:tab w:val="clear" w:pos="829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_Toc3476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 xml:space="preserve">2.1 </w:t>
      </w:r>
      <w:r>
        <w:rPr>
          <w:rFonts w:hint="eastAsia" w:ascii="微软雅黑" w:hAnsi="微软雅黑" w:eastAsia="微软雅黑" w:cs="微软雅黑"/>
          <w:lang w:val="en-US" w:eastAsia="zh-CN"/>
        </w:rPr>
        <w:t>企业用户注册与登录</w:t>
      </w:r>
      <w:r>
        <w:tab/>
      </w:r>
      <w:r>
        <w:fldChar w:fldCharType="begin"/>
      </w:r>
      <w:r>
        <w:instrText xml:space="preserve"> PAGEREF _Toc3476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4"/>
        <w:tabs>
          <w:tab w:val="right" w:leader="dot" w:pos="8306"/>
          <w:tab w:val="clear" w:pos="945"/>
          <w:tab w:val="clear" w:pos="829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_Toc5353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2.2 企业产品信息管理（拖拉机）</w:t>
      </w:r>
      <w:r>
        <w:tab/>
      </w:r>
      <w:r>
        <w:fldChar w:fldCharType="begin"/>
      </w:r>
      <w:r>
        <w:instrText xml:space="preserve"> PAGEREF _Toc5353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_Toc14081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2.2.1 拖拉机机型信息新增</w:t>
      </w:r>
      <w:r>
        <w:tab/>
      </w:r>
      <w:r>
        <w:fldChar w:fldCharType="begin"/>
      </w:r>
      <w:r>
        <w:instrText xml:space="preserve"> PAGEREF _Toc14081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_Toc21538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2.2.2 拖拉机机型查询</w:t>
      </w:r>
      <w:r>
        <w:tab/>
      </w:r>
      <w:r>
        <w:fldChar w:fldCharType="begin"/>
      </w:r>
      <w:r>
        <w:instrText xml:space="preserve"> PAGEREF _Toc21538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_Toc12144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2.2.3 拖拉机机型详情查看</w:t>
      </w:r>
      <w:r>
        <w:tab/>
      </w:r>
      <w:r>
        <w:fldChar w:fldCharType="begin"/>
      </w:r>
      <w:r>
        <w:instrText xml:space="preserve"> PAGEREF _Toc12144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_Toc3749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2.2.4 拖拉机机型信息编辑</w:t>
      </w:r>
      <w:r>
        <w:tab/>
      </w:r>
      <w:r>
        <w:fldChar w:fldCharType="begin"/>
      </w:r>
      <w:r>
        <w:instrText xml:space="preserve"> PAGEREF _Toc3749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4"/>
        <w:tabs>
          <w:tab w:val="right" w:leader="dot" w:pos="8306"/>
          <w:tab w:val="clear" w:pos="945"/>
          <w:tab w:val="clear" w:pos="829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_Toc16922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2.3 企业产品信息管理（联合收割机）</w:t>
      </w:r>
      <w:r>
        <w:tab/>
      </w:r>
      <w:r>
        <w:fldChar w:fldCharType="begin"/>
      </w:r>
      <w:r>
        <w:instrText xml:space="preserve"> PAGEREF _Toc16922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4"/>
        <w:tabs>
          <w:tab w:val="right" w:leader="dot" w:pos="8306"/>
          <w:tab w:val="clear" w:pos="945"/>
          <w:tab w:val="clear" w:pos="829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_Toc1838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2.4 企业产品信息管理（拖拉机运输机组）</w:t>
      </w:r>
      <w:r>
        <w:tab/>
      </w:r>
      <w:r>
        <w:fldChar w:fldCharType="begin"/>
      </w:r>
      <w:r>
        <w:instrText xml:space="preserve"> PAGEREF _Toc1838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pStyle w:val="14"/>
        <w:tabs>
          <w:tab w:val="right" w:leader="dot" w:pos="8306"/>
          <w:tab w:val="clear" w:pos="945"/>
          <w:tab w:val="clear" w:pos="8296"/>
        </w:tabs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_Toc24973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Fonts w:hint="eastAsia" w:ascii="微软雅黑" w:hAnsi="微软雅黑" w:eastAsia="微软雅黑" w:cs="微软雅黑"/>
        </w:rPr>
        <w:t xml:space="preserve">2.5 </w:t>
      </w:r>
      <w:r>
        <w:rPr>
          <w:rFonts w:hint="eastAsia" w:ascii="微软雅黑" w:hAnsi="微软雅黑" w:eastAsia="微软雅黑" w:cs="微软雅黑"/>
          <w:lang w:val="en-US" w:eastAsia="zh-CN"/>
        </w:rPr>
        <w:t>企业信息管理</w:t>
      </w:r>
      <w:r>
        <w:tab/>
      </w:r>
      <w:r>
        <w:fldChar w:fldCharType="begin"/>
      </w:r>
      <w:r>
        <w:instrText xml:space="preserve"> PAGEREF _Toc24973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fldChar w:fldCharType="end"/>
      </w:r>
    </w:p>
    <w:p>
      <w:pPr>
        <w:widowControl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  <w:bookmarkStart w:id="11" w:name="_GoBack"/>
      <w:bookmarkEnd w:id="11"/>
    </w:p>
    <w:p>
      <w:pPr>
        <w:pStyle w:val="2"/>
        <w:rPr>
          <w:rFonts w:hint="eastAsia" w:ascii="微软雅黑" w:hAnsi="微软雅黑" w:eastAsia="微软雅黑" w:cs="微软雅黑"/>
        </w:rPr>
      </w:pPr>
      <w:bookmarkStart w:id="0" w:name="_Toc28090"/>
      <w:r>
        <w:rPr>
          <w:rFonts w:hint="eastAsia" w:ascii="微软雅黑" w:hAnsi="微软雅黑" w:eastAsia="微软雅黑" w:cs="微软雅黑"/>
          <w:lang w:eastAsia="zh-CN"/>
        </w:rPr>
        <w:t>文档说明</w:t>
      </w:r>
      <w:bookmarkEnd w:id="0"/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1.1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项目描述</w:t>
      </w:r>
    </w:p>
    <w:p>
      <w:pP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bidi="ar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浙江省农业机械登记品牌型号库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bidi="ar"/>
        </w:rPr>
        <w:t>包括拖拉机机型库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eastAsia="zh-CN" w:bidi="ar"/>
        </w:rPr>
        <w:t>、联合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bidi="ar"/>
        </w:rPr>
        <w:t>收割机机型库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eastAsia="zh-CN" w:bidi="ar"/>
        </w:rPr>
        <w:t>、拖拉机运输机组机型库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bidi="ar"/>
        </w:rPr>
        <w:t>。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eastAsia="zh-CN" w:bidi="ar"/>
        </w:rPr>
        <w:t>机械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bidi="ar"/>
        </w:rPr>
        <w:t>生产企业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eastAsia="zh-CN" w:bidi="ar"/>
        </w:rPr>
        <w:t>注册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bidi="ar"/>
        </w:rPr>
        <w:t>账号将生产的拖拉机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eastAsia="zh-CN" w:bidi="ar"/>
        </w:rPr>
        <w:t>、联合收割机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bidi="ar"/>
        </w:rPr>
        <w:t>信息录入，由省级审核后生效。拖拉机、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eastAsia="zh-CN" w:bidi="ar"/>
        </w:rPr>
        <w:t>联合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bidi="ar"/>
        </w:rPr>
        <w:t>收割机信息公开，方便查询。</w:t>
      </w: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1.2编写范围</w:t>
      </w:r>
    </w:p>
    <w:p>
      <w:p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该文档主要包含</w:t>
      </w:r>
      <w:r>
        <w:rPr>
          <w:rFonts w:hint="eastAsia" w:ascii="微软雅黑" w:hAnsi="微软雅黑" w:eastAsia="微软雅黑" w:cs="微软雅黑"/>
          <w:color w:val="0000FF"/>
          <w:lang w:eastAsia="zh-CN"/>
        </w:rPr>
        <w:t>企业用户操作说明</w:t>
      </w: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1.3目标用户</w:t>
      </w:r>
    </w:p>
    <w:p>
      <w:pPr>
        <w:rPr>
          <w:rFonts w:hint="eastAsia" w:ascii="微软雅黑" w:hAnsi="微软雅黑" w:eastAsia="微软雅黑" w:cs="微软雅黑"/>
          <w:b/>
          <w:bCs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eastAsia="zh-CN"/>
        </w:rPr>
        <w:t>拖拉机联合收割机的注册企业</w:t>
      </w:r>
    </w:p>
    <w:p>
      <w:pPr>
        <w:pStyle w:val="2"/>
        <w:rPr>
          <w:rFonts w:hint="eastAsia" w:ascii="微软雅黑" w:hAnsi="微软雅黑" w:eastAsia="微软雅黑" w:cs="微软雅黑"/>
        </w:rPr>
      </w:pPr>
      <w:bookmarkStart w:id="1" w:name="_Toc18854"/>
      <w:r>
        <w:rPr>
          <w:rFonts w:hint="eastAsia" w:ascii="微软雅黑" w:hAnsi="微软雅黑" w:eastAsia="微软雅黑" w:cs="微软雅黑"/>
          <w:lang w:eastAsia="zh-CN"/>
        </w:rPr>
        <w:t>企业用户操作说明</w:t>
      </w:r>
      <w:bookmarkEnd w:id="1"/>
    </w:p>
    <w:p>
      <w:pPr>
        <w:pStyle w:val="3"/>
        <w:rPr>
          <w:rFonts w:hint="eastAsia" w:ascii="微软雅黑" w:hAnsi="微软雅黑" w:eastAsia="微软雅黑" w:cs="微软雅黑"/>
        </w:rPr>
      </w:pPr>
      <w:bookmarkStart w:id="2" w:name="_Toc3476"/>
      <w:r>
        <w:rPr>
          <w:rFonts w:hint="eastAsia" w:ascii="微软雅黑" w:hAnsi="微软雅黑" w:eastAsia="微软雅黑" w:cs="微软雅黑"/>
          <w:lang w:val="en-US" w:eastAsia="zh-CN"/>
        </w:rPr>
        <w:t>企业用户注册与登录</w:t>
      </w:r>
      <w:bookmarkEnd w:id="2"/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 xml:space="preserve"> 进入方式</w:t>
      </w:r>
    </w:p>
    <w:p>
      <w:pPr>
        <w:numPr>
          <w:numId w:val="0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访问网址：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instrText xml:space="preserve"> HYPERLINK "http://www.zjnj.cn/html/main/gb2312/index.html" </w:instrTex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separate"/>
      </w:r>
      <w:r>
        <w:rPr>
          <w:rStyle w:val="17"/>
          <w:rFonts w:hint="eastAsia" w:ascii="微软雅黑" w:hAnsi="微软雅黑" w:eastAsia="微软雅黑" w:cs="微软雅黑"/>
          <w:sz w:val="24"/>
          <w:szCs w:val="24"/>
          <w:lang w:val="en-US" w:eastAsia="zh-CN"/>
        </w:rPr>
        <w:t>http://www.zjnj.cn/html/main/gb2312/index.html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，进入浙江农机化信息网。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登录</w:t>
      </w:r>
    </w:p>
    <w:p>
      <w:pPr>
        <w:numPr>
          <w:numId w:val="0"/>
        </w:numPr>
        <w:ind w:firstLine="42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点击“浙江省农业机械登记品牌型号库”（图1-1）进入浙江省农业机械登记品牌型号库的登录界面，如图1-2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8595" cy="1969770"/>
            <wp:effectExtent l="0" t="0" r="8255" b="114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1-1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3240405"/>
            <wp:effectExtent l="0" t="0" r="9525" b="1714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990" w:firstLineChars="190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1-2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注册步骤</w:t>
      </w:r>
    </w:p>
    <w:p>
      <w:pPr>
        <w:numPr>
          <w:ilvl w:val="0"/>
          <w:numId w:val="0"/>
        </w:numPr>
        <w:ind w:firstLine="56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第一步：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进入浙江省农业机械登记品牌型号库的登录界面，点击右上角的“注册”按钮（图1-2），进入注册界面（图1-3）</w:t>
      </w:r>
    </w:p>
    <w:p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第二步：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录入基本信息，点击“下一步”</w:t>
      </w:r>
    </w:p>
    <w:p>
      <w:pPr>
        <w:numPr>
          <w:ilvl w:val="0"/>
          <w:numId w:val="0"/>
        </w:numPr>
        <w:ind w:firstLine="420" w:firstLineChars="200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object>
          <v:shape id="_x0000_i1025" o:spt="75" type="#_x0000_t75" style="height:277.95pt;width:415.05pt;" o:ole="t" filled="f" o:preferrelative="t" stroked="f" coordsize="21600,21600">
            <v:path/>
            <v:fill on="f" focussize="0,0"/>
            <v:stroke on="f"/>
            <v:imagedata r:id="rId9" o:title=""/>
            <o:lock v:ext="edit" aspectratio="f"/>
            <w10:wrap type="none"/>
            <w10:anchorlock/>
          </v:shape>
          <o:OLEObject Type="Embed" ProgID="Picture.PicObj.1" ShapeID="_x0000_i1025" DrawAspect="Content" ObjectID="_1468075725" r:id="rId8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lang w:eastAsia="zh-CN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1-3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3899535"/>
            <wp:effectExtent l="0" t="0" r="9525" b="571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99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第三步：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按提示输入用户名与密码，点击“下一步”</w:t>
      </w:r>
    </w:p>
    <w:p>
      <w:pPr>
        <w:numPr>
          <w:ilvl w:val="0"/>
          <w:numId w:val="0"/>
        </w:numPr>
        <w:ind w:firstLine="420" w:firstLineChars="2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1796415"/>
            <wp:effectExtent l="0" t="0" r="4445" b="1333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备注：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用户名不能有特殊字符；用户名首尾不能出现下划线。</w:t>
      </w:r>
    </w:p>
    <w:p>
      <w:pPr>
        <w:numPr>
          <w:ilvl w:val="0"/>
          <w:numId w:val="0"/>
        </w:numPr>
        <w:ind w:firstLine="56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第三步：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完成注册</w:t>
      </w:r>
    </w:p>
    <w:p>
      <w:pPr>
        <w:numPr>
          <w:ilvl w:val="0"/>
          <w:numId w:val="0"/>
        </w:numPr>
        <w:ind w:firstLine="42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8595" cy="2496820"/>
            <wp:effectExtent l="0" t="0" r="8255" b="1778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登录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注册成功后直接点击“登录”按钮，进入浙江省农业机械登记品牌型号库的登录页面；或者点击“浙江省农业机械登记品牌型号库”（图1-1）进入浙江省农业机械登记品牌型号库的登录界面，如图2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2705735"/>
            <wp:effectExtent l="0" t="0" r="12065" b="1841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t="1597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0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990" w:firstLineChars="19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首页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登录成功后进入浙江省农业机械登记品牌型号库的首页（图3）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1771015"/>
            <wp:effectExtent l="0" t="0" r="4445" b="635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rcRect t="1349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780" w:firstLineChars="18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图3</w:t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3" w:name="_Toc5353"/>
      <w:r>
        <w:rPr>
          <w:rFonts w:hint="eastAsia" w:ascii="微软雅黑" w:hAnsi="微软雅黑" w:eastAsia="微软雅黑" w:cs="微软雅黑"/>
          <w:lang w:val="en-US" w:eastAsia="zh-CN"/>
        </w:rPr>
        <w:t>企业产品信息管理（拖拉机）</w:t>
      </w:r>
      <w:bookmarkEnd w:id="3"/>
      <w:r>
        <w:rPr>
          <w:rFonts w:hint="eastAsia" w:ascii="微软雅黑" w:hAnsi="微软雅黑" w:eastAsia="微软雅黑" w:cs="微软雅黑"/>
          <w:lang w:val="en-US" w:eastAsia="zh-CN"/>
        </w:rPr>
        <w:t xml:space="preserve">  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进入首页（图4），进入拖拉机机型管理界面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1771015"/>
            <wp:effectExtent l="0" t="0" r="4445" b="63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rcRect t="1349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</w:p>
    <w:p>
      <w:pPr>
        <w:pStyle w:val="4"/>
        <w:rPr>
          <w:rFonts w:hint="eastAsia" w:ascii="微软雅黑" w:hAnsi="微软雅黑" w:eastAsia="微软雅黑" w:cs="微软雅黑"/>
          <w:lang w:val="en-US" w:eastAsia="zh-CN"/>
        </w:rPr>
      </w:pPr>
      <w:bookmarkStart w:id="4" w:name="_Toc14081"/>
      <w:r>
        <w:rPr>
          <w:rFonts w:hint="eastAsia" w:ascii="微软雅黑" w:hAnsi="微软雅黑" w:eastAsia="微软雅黑" w:cs="微软雅黑"/>
          <w:lang w:val="en-US" w:eastAsia="zh-CN"/>
        </w:rPr>
        <w:t>拖拉机机型信息新增</w:t>
      </w:r>
      <w:bookmarkEnd w:id="4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点击拖拉机界面（图5）的“新增”按钮，进入拖拉机产品信息新增页面（图6）。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1557655"/>
            <wp:effectExtent l="0" t="0" r="12065" b="444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rcRect t="137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录入拖拉机产品所属的企业信息与产品信息，上传资料，点击“提交”完成产品信息的新增与上报。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5268595" cy="6082665"/>
            <wp:effectExtent l="0" t="0" r="8255" b="13335"/>
            <wp:docPr id="29" name="图片 29" descr="new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new_page_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0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</w:p>
    <w:p>
      <w:pPr>
        <w:pStyle w:val="4"/>
        <w:rPr>
          <w:rFonts w:hint="eastAsia" w:ascii="微软雅黑" w:hAnsi="微软雅黑" w:eastAsia="微软雅黑" w:cs="微软雅黑"/>
          <w:lang w:val="en-US" w:eastAsia="zh-CN"/>
        </w:rPr>
      </w:pPr>
      <w:bookmarkStart w:id="5" w:name="_Toc21538"/>
      <w:r>
        <w:rPr>
          <w:rFonts w:hint="eastAsia" w:ascii="微软雅黑" w:hAnsi="微软雅黑" w:eastAsia="微软雅黑" w:cs="微软雅黑"/>
          <w:lang w:val="en-US" w:eastAsia="zh-CN"/>
        </w:rPr>
        <w:t>拖拉机机型查询</w:t>
      </w:r>
      <w:bookmarkEnd w:id="5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进入首页，输入或选择查询的条件，点击“查询”搜索对应的产品列表（图7）。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8595" cy="1649730"/>
            <wp:effectExtent l="0" t="0" r="8255" b="7620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rcRect t="1348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图7</w:t>
      </w:r>
    </w:p>
    <w:p>
      <w:pPr>
        <w:pStyle w:val="4"/>
        <w:rPr>
          <w:rFonts w:hint="eastAsia" w:ascii="微软雅黑" w:hAnsi="微软雅黑" w:eastAsia="微软雅黑" w:cs="微软雅黑"/>
          <w:lang w:val="en-US" w:eastAsia="zh-CN"/>
        </w:rPr>
      </w:pPr>
      <w:bookmarkStart w:id="6" w:name="_Toc12144"/>
      <w:r>
        <w:rPr>
          <w:rFonts w:hint="eastAsia" w:ascii="微软雅黑" w:hAnsi="微软雅黑" w:eastAsia="微软雅黑" w:cs="微软雅黑"/>
          <w:lang w:val="en-US" w:eastAsia="zh-CN"/>
        </w:rPr>
        <w:t>拖拉机机型详情查看</w:t>
      </w:r>
      <w:bookmarkEnd w:id="6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进入首页，点击“拖拉机机型库管理”进入拖拉机机型管理界面，如图4；点击拖拉机列表的某个信息列表（图8），进入产品详情页面（图9）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3040" cy="1848485"/>
            <wp:effectExtent l="0" t="0" r="3810" b="18415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rcRect t="141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8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7960" cy="6917055"/>
            <wp:effectExtent l="0" t="0" r="8890" b="17145"/>
            <wp:docPr id="1" name="图片 1" descr="new_p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new_page_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图9</w:t>
      </w:r>
    </w:p>
    <w:p>
      <w:pPr>
        <w:pStyle w:val="4"/>
        <w:rPr>
          <w:rFonts w:hint="eastAsia" w:ascii="微软雅黑" w:hAnsi="微软雅黑" w:eastAsia="微软雅黑" w:cs="微软雅黑"/>
          <w:lang w:val="en-US" w:eastAsia="zh-CN"/>
        </w:rPr>
      </w:pPr>
      <w:bookmarkStart w:id="7" w:name="_Toc3749"/>
      <w:r>
        <w:rPr>
          <w:rFonts w:hint="eastAsia" w:ascii="微软雅黑" w:hAnsi="微软雅黑" w:eastAsia="微软雅黑" w:cs="微软雅黑"/>
          <w:lang w:val="en-US" w:eastAsia="zh-CN"/>
        </w:rPr>
        <w:t>拖拉机机型信息编辑</w:t>
      </w:r>
      <w:bookmarkEnd w:id="7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点击拖拉机列表的“编辑”（图10）进入编辑页面（图11）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1625600"/>
            <wp:effectExtent l="0" t="0" r="952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t="132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图</w:t>
      </w:r>
      <w:r>
        <w:rPr>
          <w:rFonts w:hint="eastAsia" w:ascii="微软雅黑" w:hAnsi="微软雅黑" w:eastAsia="微软雅黑" w:cs="微软雅黑"/>
          <w:lang w:val="en-US" w:eastAsia="zh-CN"/>
        </w:rPr>
        <w:t>10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70500" cy="6922135"/>
            <wp:effectExtent l="0" t="0" r="6350" b="12065"/>
            <wp:docPr id="3" name="图片 3" descr="new_p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new_page_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2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图11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pStyle w:val="3"/>
        <w:rPr>
          <w:rFonts w:hint="eastAsia" w:ascii="微软雅黑" w:hAnsi="微软雅黑" w:eastAsia="微软雅黑" w:cs="微软雅黑"/>
        </w:rPr>
      </w:pPr>
      <w:bookmarkStart w:id="8" w:name="_Toc16922"/>
      <w:r>
        <w:rPr>
          <w:rFonts w:hint="eastAsia" w:ascii="微软雅黑" w:hAnsi="微软雅黑" w:eastAsia="微软雅黑" w:cs="微软雅黑"/>
          <w:lang w:val="en-US" w:eastAsia="zh-CN"/>
        </w:rPr>
        <w:t>企业产品信息管理（联合收割机）</w:t>
      </w:r>
      <w:bookmarkEnd w:id="8"/>
      <w:r>
        <w:rPr>
          <w:rFonts w:hint="eastAsia" w:ascii="微软雅黑" w:hAnsi="微软雅黑" w:eastAsia="微软雅黑" w:cs="微软雅黑"/>
          <w:lang w:val="en-US" w:eastAsia="zh-CN"/>
        </w:rPr>
        <w:t xml:space="preserve">  </w:t>
      </w:r>
    </w:p>
    <w:p>
      <w:pP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联合收割机操作逻辑与拖拉机操作逻辑一致</w:t>
      </w:r>
    </w:p>
    <w:p>
      <w:pP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请参考企业产品信息管理（拖拉机）操作说明</w:t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9" w:name="_Toc1838"/>
      <w:r>
        <w:rPr>
          <w:rFonts w:hint="eastAsia" w:ascii="微软雅黑" w:hAnsi="微软雅黑" w:eastAsia="微软雅黑" w:cs="微软雅黑"/>
          <w:lang w:val="en-US" w:eastAsia="zh-CN"/>
        </w:rPr>
        <w:t>企业产品信息管理（拖拉机运输机组）</w:t>
      </w:r>
      <w:bookmarkEnd w:id="9"/>
      <w:r>
        <w:rPr>
          <w:rFonts w:hint="eastAsia" w:ascii="微软雅黑" w:hAnsi="微软雅黑" w:eastAsia="微软雅黑" w:cs="微软雅黑"/>
          <w:lang w:val="en-US" w:eastAsia="zh-CN"/>
        </w:rPr>
        <w:t xml:space="preserve">  </w:t>
      </w:r>
    </w:p>
    <w:p>
      <w:pP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拖拉机运输机组操作逻辑与拖拉机操作逻辑一致</w:t>
      </w:r>
    </w:p>
    <w:p>
      <w:pPr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请参考企业产品信息管理（拖拉机）操作说明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</w:rPr>
      </w:pPr>
      <w:bookmarkStart w:id="10" w:name="_Toc24973"/>
      <w:r>
        <w:rPr>
          <w:rFonts w:hint="eastAsia" w:ascii="微软雅黑" w:hAnsi="微软雅黑" w:eastAsia="微软雅黑" w:cs="微软雅黑"/>
          <w:lang w:val="en-US" w:eastAsia="zh-CN"/>
        </w:rPr>
        <w:t>企业信息管理</w:t>
      </w:r>
      <w:bookmarkEnd w:id="10"/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企业信息查看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进入浙江省农业机械登记品牌型号库首页，点击“生产企业信息管理”进入生产企业信息查看的界面。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770" cy="1885950"/>
            <wp:effectExtent l="0" t="0" r="5080" b="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密码修改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进入浙江省农业机械登记品牌型号库首页，点击“生产企业信息管理”进入生产企业信息查看的界面。点击“修改密码”弹出密码修改的页面</w:t>
      </w:r>
    </w:p>
    <w:p>
      <w:p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770" cy="1885950"/>
            <wp:effectExtent l="0" t="0" r="5080" b="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密码修改说明：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960" cy="2658110"/>
            <wp:effectExtent l="0" t="0" r="8890" b="889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rPr>
        <w:rFonts w:hint="eastAsia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TVs2AVAgAAEwQAAA4AAABkcnMvZTJvRG9jLnhtbK1TTY7TMBTeI3EH&#10;y3uatIiZqm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TVs2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>浙江森特信息技术有限公司专属资料，禁止外传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left"/>
    </w:pPr>
    <w:r>
      <w:rPr>
        <w:rFonts w:hint="eastAsia"/>
      </w:rPr>
      <w:drawing>
        <wp:inline distT="0" distB="0" distL="114300" distR="114300">
          <wp:extent cx="948055" cy="236220"/>
          <wp:effectExtent l="0" t="0" r="4445" b="11430"/>
          <wp:docPr id="6" name="图片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4" descr="LOGO"/>
                  <pic:cNvPicPr>
                    <a:picLocks noChangeAspect="1"/>
                  </pic:cNvPicPr>
                </pic:nvPicPr>
                <pic:blipFill>
                  <a:blip r:embed="rId1"/>
                  <a:srcRect l="3346" t="18843" r="6918" b="23924"/>
                  <a:stretch>
                    <a:fillRect/>
                  </a:stretch>
                </pic:blipFill>
                <pic:spPr>
                  <a:xfrm>
                    <a:off x="0" y="0"/>
                    <a:ext cx="948055" cy="2362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          产品操作手册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322C5C1"/>
    <w:multiLevelType w:val="singleLevel"/>
    <w:tmpl w:val="F322C5C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2DCFFE0"/>
    <w:multiLevelType w:val="singleLevel"/>
    <w:tmpl w:val="02DCFFE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C4C7D71"/>
    <w:multiLevelType w:val="multilevel"/>
    <w:tmpl w:val="6C4C7D71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32E0363"/>
    <w:rsid w:val="07F96A2D"/>
    <w:rsid w:val="08F007A5"/>
    <w:rsid w:val="09157230"/>
    <w:rsid w:val="0A9F35B0"/>
    <w:rsid w:val="0ACE67E0"/>
    <w:rsid w:val="0CDD54D8"/>
    <w:rsid w:val="0D7F73A7"/>
    <w:rsid w:val="0DBF4654"/>
    <w:rsid w:val="0E6C5E10"/>
    <w:rsid w:val="0F423111"/>
    <w:rsid w:val="0F7C5E19"/>
    <w:rsid w:val="1093097D"/>
    <w:rsid w:val="10A01B0A"/>
    <w:rsid w:val="12B65E4A"/>
    <w:rsid w:val="13E9756E"/>
    <w:rsid w:val="14C35E59"/>
    <w:rsid w:val="14FB2E2C"/>
    <w:rsid w:val="162E56DC"/>
    <w:rsid w:val="1683791E"/>
    <w:rsid w:val="171300DC"/>
    <w:rsid w:val="17FF5359"/>
    <w:rsid w:val="18AF0B11"/>
    <w:rsid w:val="19355BE0"/>
    <w:rsid w:val="19510C38"/>
    <w:rsid w:val="1C0A7784"/>
    <w:rsid w:val="1EAA05B9"/>
    <w:rsid w:val="1EBD2973"/>
    <w:rsid w:val="20E52F46"/>
    <w:rsid w:val="227B5C8C"/>
    <w:rsid w:val="22B400DB"/>
    <w:rsid w:val="22B74052"/>
    <w:rsid w:val="276B698B"/>
    <w:rsid w:val="284F5ACC"/>
    <w:rsid w:val="28774B8E"/>
    <w:rsid w:val="28F016C4"/>
    <w:rsid w:val="2BA509B2"/>
    <w:rsid w:val="2EC77CED"/>
    <w:rsid w:val="2FB24D59"/>
    <w:rsid w:val="30BD6D3D"/>
    <w:rsid w:val="30BE43C5"/>
    <w:rsid w:val="336F0A9C"/>
    <w:rsid w:val="35245651"/>
    <w:rsid w:val="355A7E77"/>
    <w:rsid w:val="364B09E3"/>
    <w:rsid w:val="367303B2"/>
    <w:rsid w:val="36FA67A6"/>
    <w:rsid w:val="371723DC"/>
    <w:rsid w:val="3BC80806"/>
    <w:rsid w:val="3CCD0A0E"/>
    <w:rsid w:val="3ED67105"/>
    <w:rsid w:val="3FF50222"/>
    <w:rsid w:val="3FFF1728"/>
    <w:rsid w:val="40475C5A"/>
    <w:rsid w:val="43EA31CD"/>
    <w:rsid w:val="44A83415"/>
    <w:rsid w:val="453D275D"/>
    <w:rsid w:val="45B26E33"/>
    <w:rsid w:val="46003074"/>
    <w:rsid w:val="47E20E6B"/>
    <w:rsid w:val="48F71C5C"/>
    <w:rsid w:val="496E3A96"/>
    <w:rsid w:val="49CC0ECA"/>
    <w:rsid w:val="4C8459F9"/>
    <w:rsid w:val="4E945B14"/>
    <w:rsid w:val="50467D5E"/>
    <w:rsid w:val="51966871"/>
    <w:rsid w:val="51E63E38"/>
    <w:rsid w:val="51EA43C2"/>
    <w:rsid w:val="53AB79DB"/>
    <w:rsid w:val="53FE7825"/>
    <w:rsid w:val="55747A43"/>
    <w:rsid w:val="57C14EC4"/>
    <w:rsid w:val="5A227FDF"/>
    <w:rsid w:val="5AE15383"/>
    <w:rsid w:val="5AFF560F"/>
    <w:rsid w:val="5BA97D25"/>
    <w:rsid w:val="5C062F65"/>
    <w:rsid w:val="5C310CE0"/>
    <w:rsid w:val="5CAC004F"/>
    <w:rsid w:val="5FB31F33"/>
    <w:rsid w:val="5FDA12E4"/>
    <w:rsid w:val="61D466FE"/>
    <w:rsid w:val="64106877"/>
    <w:rsid w:val="65872274"/>
    <w:rsid w:val="661E2A97"/>
    <w:rsid w:val="675A220B"/>
    <w:rsid w:val="6AC37140"/>
    <w:rsid w:val="6AFF36BC"/>
    <w:rsid w:val="6CB16084"/>
    <w:rsid w:val="6D2519E0"/>
    <w:rsid w:val="6E3F6037"/>
    <w:rsid w:val="6F9E6F8E"/>
    <w:rsid w:val="6FB477A1"/>
    <w:rsid w:val="713A20FC"/>
    <w:rsid w:val="720F41F5"/>
    <w:rsid w:val="72AA2616"/>
    <w:rsid w:val="741721A5"/>
    <w:rsid w:val="75B94067"/>
    <w:rsid w:val="77440E27"/>
    <w:rsid w:val="77BF2633"/>
    <w:rsid w:val="77D55BED"/>
    <w:rsid w:val="77E92832"/>
    <w:rsid w:val="7B120EF2"/>
    <w:rsid w:val="7C2B5347"/>
    <w:rsid w:val="7C6921FA"/>
    <w:rsid w:val="7DB92D89"/>
    <w:rsid w:val="7E5F6500"/>
    <w:rsid w:val="7EA946CE"/>
    <w:rsid w:val="7FBC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qFormat="1"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Calibri" w:hAnsi="Calibri" w:eastAsia="宋体" w:cs="Times New Roman"/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hAnsi="Cambria" w:eastAsia="宋体" w:cs="Times New Roman"/>
      <w:b/>
      <w:bCs/>
      <w:sz w:val="28"/>
      <w:szCs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6">
    <w:name w:val="Default Paragraph Font"/>
    <w:semiHidden/>
    <w:qFormat/>
    <w:uiPriority w:val="0"/>
  </w:style>
  <w:style w:type="table" w:default="1" w:styleId="1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te Heading"/>
    <w:basedOn w:val="1"/>
    <w:next w:val="1"/>
    <w:qFormat/>
    <w:uiPriority w:val="0"/>
    <w:pPr>
      <w:jc w:val="center"/>
    </w:pPr>
  </w:style>
  <w:style w:type="paragraph" w:styleId="8">
    <w:name w:val="caption"/>
    <w:basedOn w:val="1"/>
    <w:next w:val="1"/>
    <w:unhideWhenUsed/>
    <w:qFormat/>
    <w:uiPriority w:val="0"/>
    <w:rPr>
      <w:rFonts w:ascii="Cambria" w:hAnsi="Cambria" w:eastAsia="黑体" w:cs="Times New Roman"/>
      <w:sz w:val="20"/>
      <w:szCs w:val="20"/>
    </w:rPr>
  </w:style>
  <w:style w:type="paragraph" w:styleId="9">
    <w:name w:val="toc 3"/>
    <w:basedOn w:val="1"/>
    <w:next w:val="1"/>
    <w:qFormat/>
    <w:uiPriority w:val="0"/>
    <w:pPr>
      <w:ind w:left="840" w:leftChars="400"/>
    </w:pPr>
    <w:rPr>
      <w:rFonts w:ascii="Calibri" w:hAnsi="Calibri" w:eastAsia="宋体" w:cs="Times New Roman"/>
    </w:rPr>
  </w:style>
  <w:style w:type="paragraph" w:styleId="10">
    <w:name w:val="Body Text Indent 2"/>
    <w:basedOn w:val="1"/>
    <w:qFormat/>
    <w:uiPriority w:val="0"/>
    <w:pPr>
      <w:spacing w:line="240" w:lineRule="atLeast"/>
      <w:ind w:left="420"/>
    </w:pPr>
    <w:rPr>
      <w:rFonts w:ascii="宋体" w:hAnsi="宋体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0"/>
    <w:rPr>
      <w:rFonts w:ascii="Calibri" w:hAnsi="Calibri" w:eastAsia="宋体" w:cs="Times New Roman"/>
    </w:rPr>
  </w:style>
  <w:style w:type="paragraph" w:styleId="14">
    <w:name w:val="toc 2"/>
    <w:basedOn w:val="1"/>
    <w:next w:val="1"/>
    <w:qFormat/>
    <w:uiPriority w:val="0"/>
    <w:pPr>
      <w:tabs>
        <w:tab w:val="left" w:pos="945"/>
        <w:tab w:val="right" w:leader="dot" w:pos="8296"/>
      </w:tabs>
      <w:ind w:left="420" w:leftChars="200"/>
    </w:pPr>
    <w:rPr>
      <w:rFonts w:ascii="Calibri" w:hAnsi="Calibri" w:eastAsia="宋体" w:cs="Times New Roman"/>
    </w:rPr>
  </w:style>
  <w:style w:type="paragraph" w:styleId="15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7">
    <w:name w:val="FollowedHyperlink"/>
    <w:basedOn w:val="16"/>
    <w:qFormat/>
    <w:uiPriority w:val="0"/>
    <w:rPr>
      <w:color w:val="800080"/>
      <w:u w:val="single"/>
    </w:rPr>
  </w:style>
  <w:style w:type="character" w:styleId="18">
    <w:name w:val="Hyperlink"/>
    <w:basedOn w:val="16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1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22">
    <w:name w:val="标题 3 Char"/>
    <w:link w:val="4"/>
    <w:qFormat/>
    <w:uiPriority w:val="0"/>
    <w:rPr>
      <w:rFonts w:ascii="Calibri" w:hAnsi="Calibri" w:eastAsia="宋体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oleObject" Target="embeddings/oleObject1.bin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2017-09-21T06:20:00Z</dcterms:created>
  <dc:creator>系统管理员</dc:creator>
  <cp:lastModifiedBy>Administrator</cp:lastModifiedBy>
  <dcterms:modified xsi:type="dcterms:W3CDTF">2018-05-11T07:09:53Z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